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д.16 к.2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д.16 к.2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142003, Московская обл, Домодедово, мкр. Западный, ул.Лунная, д.1, xxxv, 8-496-79-549-83, sekretar.druzhba@mail.ru,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д.16 к.2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1043.10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1043.10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807.80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77.44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 08:00 по 02.12..2021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7,43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10,77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18.11.2021г. до 02.12.2021г. 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18,21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7,43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9,22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66,65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