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д.4 к.2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д.4 к.2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д.4 к.2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1564.80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1564.80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983.80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62.87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18.11.2021г. 8:00 по 02.12.2021г.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401,40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28,66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401,40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25,65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22,05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22,05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27,15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